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2" w:rsidRPr="00C06980" w:rsidRDefault="00962A12" w:rsidP="00962A12">
      <w:pPr>
        <w:jc w:val="center"/>
        <w:rPr>
          <w:b/>
          <w:color w:val="FF0000"/>
          <w:lang w:val="uk-UA"/>
        </w:rPr>
      </w:pPr>
      <w:r w:rsidRPr="00C06980">
        <w:rPr>
          <w:b/>
          <w:color w:val="FF0000"/>
          <w:lang w:val="uk-UA"/>
        </w:rPr>
        <w:t>10 клас</w:t>
      </w:r>
      <w:r w:rsidRPr="00C06980">
        <w:rPr>
          <w:color w:val="FF0000"/>
          <w:lang w:val="uk-UA"/>
        </w:rPr>
        <w:t xml:space="preserve">  </w:t>
      </w:r>
      <w:r w:rsidR="00F972E0">
        <w:rPr>
          <w:b/>
          <w:color w:val="FF0000"/>
          <w:lang w:val="uk-UA"/>
        </w:rPr>
        <w:t>Геометрія</w:t>
      </w:r>
      <w:r w:rsidRPr="00C06980">
        <w:rPr>
          <w:b/>
          <w:color w:val="FF0000"/>
          <w:lang w:val="uk-UA"/>
        </w:rPr>
        <w:t>. Рівень стандарту</w:t>
      </w:r>
    </w:p>
    <w:p w:rsidR="00962A12" w:rsidRPr="00C06980" w:rsidRDefault="00962A12" w:rsidP="009B0903">
      <w:pPr>
        <w:ind w:left="-142" w:right="-427"/>
        <w:jc w:val="center"/>
        <w:rPr>
          <w:rStyle w:val="111"/>
          <w:sz w:val="28"/>
          <w:szCs w:val="28"/>
          <w:lang w:val="uk-UA"/>
        </w:rPr>
      </w:pPr>
      <w:r w:rsidRPr="00C06980">
        <w:rPr>
          <w:b/>
          <w:i/>
          <w:sz w:val="28"/>
          <w:szCs w:val="28"/>
          <w:lang w:val="uk-UA"/>
        </w:rPr>
        <w:t xml:space="preserve">За підручником: </w:t>
      </w:r>
      <w:r>
        <w:rPr>
          <w:b/>
          <w:i/>
          <w:sz w:val="28"/>
          <w:szCs w:val="28"/>
          <w:lang w:val="uk-UA"/>
        </w:rPr>
        <w:t xml:space="preserve">  </w:t>
      </w:r>
      <w:r w:rsidRPr="00C06980">
        <w:rPr>
          <w:sz w:val="28"/>
          <w:szCs w:val="28"/>
        </w:rPr>
        <w:t xml:space="preserve">Г. П. </w:t>
      </w:r>
      <w:proofErr w:type="spellStart"/>
      <w:r w:rsidRPr="00C06980">
        <w:rPr>
          <w:sz w:val="28"/>
          <w:szCs w:val="28"/>
        </w:rPr>
        <w:t>Бевз</w:t>
      </w:r>
      <w:proofErr w:type="spellEnd"/>
      <w:r w:rsidRPr="00C06980">
        <w:rPr>
          <w:sz w:val="28"/>
          <w:szCs w:val="28"/>
        </w:rPr>
        <w:t xml:space="preserve">, В. Г. </w:t>
      </w:r>
      <w:proofErr w:type="spellStart"/>
      <w:r w:rsidRPr="00C06980">
        <w:rPr>
          <w:sz w:val="28"/>
          <w:szCs w:val="28"/>
        </w:rPr>
        <w:t>Бевз</w:t>
      </w:r>
      <w:proofErr w:type="spellEnd"/>
      <w:r w:rsidRPr="00C06980">
        <w:rPr>
          <w:sz w:val="28"/>
          <w:szCs w:val="28"/>
        </w:rPr>
        <w:t xml:space="preserve">. Математика 10 </w:t>
      </w:r>
      <w:proofErr w:type="spellStart"/>
      <w:r w:rsidRPr="00C06980">
        <w:rPr>
          <w:sz w:val="28"/>
          <w:szCs w:val="28"/>
        </w:rPr>
        <w:t>клас</w:t>
      </w:r>
      <w:proofErr w:type="spellEnd"/>
      <w:r w:rsidRPr="00C06980">
        <w:rPr>
          <w:sz w:val="28"/>
          <w:szCs w:val="28"/>
        </w:rPr>
        <w:t xml:space="preserve">. </w:t>
      </w:r>
      <w:proofErr w:type="spellStart"/>
      <w:proofErr w:type="gramStart"/>
      <w:r w:rsidRPr="00C06980">
        <w:rPr>
          <w:sz w:val="28"/>
          <w:szCs w:val="28"/>
        </w:rPr>
        <w:t>П</w:t>
      </w:r>
      <w:proofErr w:type="gramEnd"/>
      <w:r w:rsidRPr="00C06980">
        <w:rPr>
          <w:sz w:val="28"/>
          <w:szCs w:val="28"/>
        </w:rPr>
        <w:t>ідручник</w:t>
      </w:r>
      <w:proofErr w:type="spellEnd"/>
      <w:r w:rsidRPr="00C06980">
        <w:rPr>
          <w:sz w:val="28"/>
          <w:szCs w:val="28"/>
        </w:rPr>
        <w:t xml:space="preserve"> для </w:t>
      </w:r>
      <w:proofErr w:type="spellStart"/>
      <w:r w:rsidRPr="00C06980">
        <w:rPr>
          <w:sz w:val="28"/>
          <w:szCs w:val="28"/>
        </w:rPr>
        <w:t>загальноосвітніх</w:t>
      </w:r>
      <w:proofErr w:type="spellEnd"/>
      <w:r w:rsidRPr="00C06980">
        <w:rPr>
          <w:sz w:val="28"/>
          <w:szCs w:val="28"/>
        </w:rPr>
        <w:t xml:space="preserve"> </w:t>
      </w:r>
      <w:proofErr w:type="spellStart"/>
      <w:r w:rsidRPr="00C06980">
        <w:rPr>
          <w:sz w:val="28"/>
          <w:szCs w:val="28"/>
        </w:rPr>
        <w:t>навчальних</w:t>
      </w:r>
      <w:proofErr w:type="spellEnd"/>
      <w:r w:rsidRPr="00C06980">
        <w:rPr>
          <w:sz w:val="28"/>
          <w:szCs w:val="28"/>
        </w:rPr>
        <w:t xml:space="preserve"> </w:t>
      </w:r>
      <w:proofErr w:type="spellStart"/>
      <w:r w:rsidRPr="00C06980">
        <w:rPr>
          <w:sz w:val="28"/>
          <w:szCs w:val="28"/>
        </w:rPr>
        <w:t>закладів</w:t>
      </w:r>
      <w:proofErr w:type="spellEnd"/>
      <w:r w:rsidRPr="00C06980">
        <w:rPr>
          <w:sz w:val="28"/>
          <w:szCs w:val="28"/>
        </w:rPr>
        <w:t xml:space="preserve">. </w:t>
      </w:r>
      <w:proofErr w:type="spellStart"/>
      <w:r w:rsidRPr="00C06980">
        <w:rPr>
          <w:sz w:val="28"/>
          <w:szCs w:val="28"/>
        </w:rPr>
        <w:t>Рівень</w:t>
      </w:r>
      <w:proofErr w:type="spellEnd"/>
      <w:r w:rsidRPr="00C06980">
        <w:rPr>
          <w:sz w:val="28"/>
          <w:szCs w:val="28"/>
        </w:rPr>
        <w:t xml:space="preserve"> стандарту. </w:t>
      </w:r>
      <w:proofErr w:type="spellStart"/>
      <w:r w:rsidRPr="00C06980">
        <w:rPr>
          <w:rStyle w:val="111"/>
          <w:sz w:val="28"/>
          <w:szCs w:val="28"/>
        </w:rPr>
        <w:t>Київ</w:t>
      </w:r>
      <w:proofErr w:type="spellEnd"/>
      <w:r w:rsidRPr="00C06980">
        <w:rPr>
          <w:rStyle w:val="111"/>
          <w:sz w:val="28"/>
          <w:szCs w:val="28"/>
        </w:rPr>
        <w:t xml:space="preserve"> "Генеза" 2010.</w:t>
      </w:r>
    </w:p>
    <w:p w:rsidR="00962A12" w:rsidRDefault="00962A12" w:rsidP="00962A12">
      <w:pPr>
        <w:jc w:val="center"/>
        <w:rPr>
          <w:lang w:val="uk-UA"/>
        </w:rPr>
      </w:pPr>
      <w:r>
        <w:rPr>
          <w:lang w:val="uk-UA"/>
        </w:rPr>
        <w:t xml:space="preserve">І семестр-32години, 2 год. на тиждень, </w:t>
      </w:r>
    </w:p>
    <w:p w:rsidR="00962A12" w:rsidRDefault="00962A12" w:rsidP="00962A12">
      <w:pPr>
        <w:jc w:val="center"/>
        <w:rPr>
          <w:lang w:val="uk-UA"/>
        </w:rPr>
      </w:pPr>
      <w:r>
        <w:rPr>
          <w:lang w:val="uk-UA"/>
        </w:rPr>
        <w:t>ІІ семестр-19 годин,1год. на тиждень,</w:t>
      </w:r>
    </w:p>
    <w:p w:rsidR="00962A12" w:rsidRPr="00962A12" w:rsidRDefault="00962A12" w:rsidP="00962A12">
      <w:pPr>
        <w:jc w:val="center"/>
        <w:rPr>
          <w:rStyle w:val="111"/>
          <w:b/>
          <w:lang w:val="uk-UA"/>
        </w:rPr>
      </w:pPr>
      <w:r w:rsidRPr="000909E4">
        <w:rPr>
          <w:b/>
          <w:lang w:val="uk-UA"/>
        </w:rPr>
        <w:t xml:space="preserve"> всього-51 година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"/>
        <w:gridCol w:w="754"/>
        <w:gridCol w:w="1136"/>
        <w:gridCol w:w="849"/>
        <w:gridCol w:w="1134"/>
        <w:gridCol w:w="850"/>
        <w:gridCol w:w="1134"/>
        <w:gridCol w:w="4678"/>
      </w:tblGrid>
      <w:tr w:rsidR="00962A12" w:rsidRPr="007F38B2" w:rsidTr="00E1321C">
        <w:trPr>
          <w:trHeight w:val="765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№</w:t>
            </w:r>
          </w:p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уроку</w:t>
            </w:r>
          </w:p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58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A12" w:rsidRPr="008817BE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Дата</w:t>
            </w:r>
            <w:r w:rsidR="008817BE">
              <w:rPr>
                <w:b/>
                <w:i/>
                <w:sz w:val="26"/>
                <w:lang w:val="uk-UA"/>
              </w:rPr>
              <w:t>/клас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Тема</w:t>
            </w:r>
          </w:p>
        </w:tc>
      </w:tr>
      <w:tr w:rsidR="00962A12" w:rsidRPr="007F38B2" w:rsidTr="00E1321C">
        <w:trPr>
          <w:trHeight w:val="720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10</w:t>
            </w:r>
            <w:r w:rsidRPr="007F38B2">
              <w:rPr>
                <w:b/>
                <w:i/>
                <w:sz w:val="26"/>
                <w:lang w:val="uk-UA"/>
              </w:rPr>
              <w:t>-А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10</w:t>
            </w:r>
            <w:r w:rsidRPr="007F38B2">
              <w:rPr>
                <w:b/>
                <w:i/>
                <w:sz w:val="26"/>
                <w:lang w:val="uk-UA"/>
              </w:rPr>
              <w:t>-Б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10-В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</w:tr>
      <w:tr w:rsidR="00962A12" w:rsidRPr="007F38B2" w:rsidTr="00E1321C">
        <w:trPr>
          <w:trHeight w:val="180"/>
        </w:trPr>
        <w:tc>
          <w:tcPr>
            <w:tcW w:w="11030" w:type="dxa"/>
            <w:gridSpan w:val="9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962A12">
            <w:pPr>
              <w:jc w:val="center"/>
              <w:rPr>
                <w:i/>
                <w:lang w:val="uk-UA"/>
              </w:rPr>
            </w:pP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Тема №1. </w:t>
            </w: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Паралельні прямі  і  площини  у  просторі 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( 22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 год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.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)</w:t>
            </w:r>
          </w:p>
        </w:tc>
      </w:tr>
      <w:tr w:rsidR="00962A12" w:rsidRPr="007F38B2" w:rsidTr="00E1321C">
        <w:trPr>
          <w:trHeight w:val="180"/>
        </w:trPr>
        <w:tc>
          <w:tcPr>
            <w:tcW w:w="495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75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i/>
                <w:lang w:val="uk-UA"/>
              </w:rPr>
            </w:pPr>
            <w:proofErr w:type="spellStart"/>
            <w:r w:rsidRPr="00B66D64">
              <w:rPr>
                <w:i/>
                <w:lang w:val="uk-UA"/>
              </w:rPr>
              <w:t>Основнi</w:t>
            </w:r>
            <w:proofErr w:type="spellEnd"/>
            <w:r w:rsidRPr="00B66D64">
              <w:rPr>
                <w:i/>
                <w:lang w:val="uk-UA"/>
              </w:rPr>
              <w:t xml:space="preserve"> поняття </w:t>
            </w:r>
            <w:proofErr w:type="spellStart"/>
            <w:r w:rsidRPr="00B66D64">
              <w:rPr>
                <w:i/>
                <w:lang w:val="uk-UA"/>
              </w:rPr>
              <w:t>стереометрiї</w:t>
            </w:r>
            <w:proofErr w:type="spellEnd"/>
          </w:p>
        </w:tc>
      </w:tr>
      <w:tr w:rsidR="00962A12" w:rsidRPr="007F38B2" w:rsidTr="00E1321C">
        <w:trPr>
          <w:trHeight w:val="37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i/>
                <w:lang w:val="uk-UA"/>
              </w:rPr>
            </w:pPr>
            <w:proofErr w:type="spellStart"/>
            <w:r w:rsidRPr="00B66D64">
              <w:rPr>
                <w:i/>
                <w:lang w:val="uk-UA"/>
              </w:rPr>
              <w:t>Аксiоми</w:t>
            </w:r>
            <w:proofErr w:type="spellEnd"/>
            <w:r w:rsidRPr="00B66D64">
              <w:rPr>
                <w:i/>
                <w:lang w:val="uk-UA"/>
              </w:rPr>
              <w:t xml:space="preserve"> </w:t>
            </w:r>
            <w:proofErr w:type="spellStart"/>
            <w:r w:rsidRPr="00B66D64">
              <w:rPr>
                <w:i/>
                <w:lang w:val="uk-UA"/>
              </w:rPr>
              <w:t>стереометрiї</w:t>
            </w:r>
            <w:proofErr w:type="spellEnd"/>
          </w:p>
        </w:tc>
      </w:tr>
      <w:tr w:rsidR="00962A12" w:rsidRPr="007F38B2" w:rsidTr="00E1321C">
        <w:trPr>
          <w:trHeight w:val="180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i/>
                <w:lang w:val="uk-UA"/>
              </w:rPr>
            </w:pPr>
            <w:proofErr w:type="spellStart"/>
            <w:r w:rsidRPr="00B66D64">
              <w:rPr>
                <w:i/>
                <w:lang w:val="uk-UA"/>
              </w:rPr>
              <w:t>Наслiдки</w:t>
            </w:r>
            <w:proofErr w:type="spellEnd"/>
            <w:r w:rsidRPr="00B66D64">
              <w:rPr>
                <w:i/>
                <w:lang w:val="uk-UA"/>
              </w:rPr>
              <w:t xml:space="preserve"> з </w:t>
            </w:r>
            <w:proofErr w:type="spellStart"/>
            <w:r w:rsidRPr="00B66D64">
              <w:rPr>
                <w:i/>
                <w:lang w:val="uk-UA"/>
              </w:rPr>
              <w:t>аксiом</w:t>
            </w:r>
            <w:proofErr w:type="spellEnd"/>
            <w:r w:rsidRPr="00B66D64">
              <w:rPr>
                <w:i/>
                <w:lang w:val="uk-UA"/>
              </w:rPr>
              <w:t xml:space="preserve"> </w:t>
            </w:r>
            <w:proofErr w:type="spellStart"/>
            <w:r w:rsidRPr="00B66D64">
              <w:rPr>
                <w:i/>
                <w:lang w:val="uk-UA"/>
              </w:rPr>
              <w:t>стереометрi</w:t>
            </w:r>
            <w:proofErr w:type="spellEnd"/>
          </w:p>
        </w:tc>
      </w:tr>
      <w:tr w:rsidR="00962A12" w:rsidRPr="007F38B2" w:rsidTr="00E1321C">
        <w:trPr>
          <w:trHeight w:val="31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i/>
                <w:lang w:val="uk-UA"/>
              </w:rPr>
            </w:pPr>
            <w:proofErr w:type="spellStart"/>
            <w:r w:rsidRPr="00B66D64">
              <w:rPr>
                <w:i/>
                <w:lang w:val="uk-UA"/>
              </w:rPr>
              <w:t>Наслiдки</w:t>
            </w:r>
            <w:proofErr w:type="spellEnd"/>
            <w:r w:rsidRPr="00B66D64">
              <w:rPr>
                <w:i/>
                <w:lang w:val="uk-UA"/>
              </w:rPr>
              <w:t xml:space="preserve"> з </w:t>
            </w:r>
            <w:proofErr w:type="spellStart"/>
            <w:r w:rsidRPr="00B66D64">
              <w:rPr>
                <w:i/>
                <w:lang w:val="uk-UA"/>
              </w:rPr>
              <w:t>аксiом</w:t>
            </w:r>
            <w:proofErr w:type="spellEnd"/>
            <w:r w:rsidRPr="00B66D64">
              <w:rPr>
                <w:i/>
                <w:lang w:val="uk-UA"/>
              </w:rPr>
              <w:t xml:space="preserve"> </w:t>
            </w:r>
            <w:proofErr w:type="spellStart"/>
            <w:r w:rsidRPr="00B66D64">
              <w:rPr>
                <w:i/>
                <w:lang w:val="uk-UA"/>
              </w:rPr>
              <w:t>стереометрiї</w:t>
            </w:r>
            <w:proofErr w:type="spellEnd"/>
          </w:p>
        </w:tc>
      </w:tr>
      <w:tr w:rsidR="00962A12" w:rsidRPr="007F38B2" w:rsidTr="00E1321C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Розв’язування задач. </w:t>
            </w:r>
            <w:r w:rsidR="00B66D64" w:rsidRPr="00B66D64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962A12" w:rsidRPr="007F38B2" w:rsidTr="00E1321C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i/>
                <w:lang w:val="uk-UA"/>
              </w:rPr>
            </w:pPr>
            <w:r w:rsidRPr="00B66D64">
              <w:rPr>
                <w:i/>
                <w:lang w:val="uk-UA"/>
              </w:rPr>
              <w:t xml:space="preserve">Взаємне </w:t>
            </w:r>
            <w:proofErr w:type="spellStart"/>
            <w:r w:rsidRPr="00B66D64">
              <w:rPr>
                <w:i/>
                <w:lang w:val="uk-UA"/>
              </w:rPr>
              <w:t>розмiщення</w:t>
            </w:r>
            <w:proofErr w:type="spellEnd"/>
            <w:r w:rsidRPr="00B66D64">
              <w:rPr>
                <w:i/>
                <w:lang w:val="uk-UA"/>
              </w:rPr>
              <w:t xml:space="preserve"> прямих у </w:t>
            </w:r>
            <w:proofErr w:type="spellStart"/>
            <w:r w:rsidRPr="00B66D64">
              <w:rPr>
                <w:i/>
                <w:lang w:val="uk-UA"/>
              </w:rPr>
              <w:t>просторi</w:t>
            </w:r>
            <w:proofErr w:type="spellEnd"/>
          </w:p>
        </w:tc>
      </w:tr>
      <w:tr w:rsidR="00962A12" w:rsidRPr="007F38B2" w:rsidTr="00E1321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i/>
                <w:lang w:val="uk-UA"/>
              </w:rPr>
            </w:pPr>
            <w:r w:rsidRPr="00B66D64">
              <w:rPr>
                <w:i/>
                <w:lang w:val="uk-UA"/>
              </w:rPr>
              <w:t xml:space="preserve">Ознаки паралельних i </w:t>
            </w:r>
            <w:proofErr w:type="spellStart"/>
            <w:r w:rsidRPr="00B66D64">
              <w:rPr>
                <w:i/>
                <w:lang w:val="uk-UA"/>
              </w:rPr>
              <w:t>мимобiжних</w:t>
            </w:r>
            <w:proofErr w:type="spellEnd"/>
            <w:r w:rsidRPr="00B66D64">
              <w:rPr>
                <w:i/>
                <w:lang w:val="uk-UA"/>
              </w:rPr>
              <w:t xml:space="preserve"> прямих</w:t>
            </w:r>
          </w:p>
        </w:tc>
      </w:tr>
      <w:tr w:rsidR="00962A12" w:rsidRPr="007F38B2" w:rsidTr="00E1321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Властивостi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паралельних прямих</w:t>
            </w:r>
          </w:p>
        </w:tc>
      </w:tr>
      <w:tr w:rsidR="00962A12" w:rsidRPr="007F38B2" w:rsidTr="00E1321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Розв’язування задач</w:t>
            </w:r>
          </w:p>
        </w:tc>
      </w:tr>
      <w:tr w:rsidR="00962A12" w:rsidRPr="007F38B2" w:rsidTr="00E1321C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i/>
                <w:lang w:val="uk-UA"/>
              </w:rPr>
            </w:pPr>
            <w:r w:rsidRPr="00B66D64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1</w:t>
            </w:r>
          </w:p>
        </w:tc>
      </w:tr>
      <w:tr w:rsidR="00962A12" w:rsidRPr="007F38B2" w:rsidTr="00E1321C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B0903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Аналіз контрольної роботи. </w:t>
            </w:r>
            <w:proofErr w:type="spellStart"/>
            <w:r w:rsidR="00962A12"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Паралельнiсть</w:t>
            </w:r>
            <w:proofErr w:type="spellEnd"/>
            <w:r w:rsidR="00962A12"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прямої та площини</w:t>
            </w:r>
          </w:p>
        </w:tc>
      </w:tr>
      <w:tr w:rsidR="00962A12" w:rsidRPr="007F38B2" w:rsidTr="00E1321C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Паралельнiсть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прямої та площини</w:t>
            </w:r>
          </w:p>
        </w:tc>
      </w:tr>
      <w:tr w:rsidR="00962A12" w:rsidRPr="007F38B2" w:rsidTr="00E1321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i/>
                <w:lang w:val="uk-UA"/>
              </w:rPr>
            </w:pPr>
            <w:proofErr w:type="spellStart"/>
            <w:r w:rsidRPr="00B66D64">
              <w:rPr>
                <w:i/>
                <w:lang w:val="uk-UA"/>
              </w:rPr>
              <w:t>Паралельнiсть</w:t>
            </w:r>
            <w:proofErr w:type="spellEnd"/>
            <w:r w:rsidRPr="00B66D64">
              <w:rPr>
                <w:i/>
                <w:lang w:val="uk-UA"/>
              </w:rPr>
              <w:t xml:space="preserve"> прямої та площини</w:t>
            </w:r>
          </w:p>
        </w:tc>
      </w:tr>
      <w:tr w:rsidR="00962A12" w:rsidRPr="007F38B2" w:rsidTr="00E1321C">
        <w:trPr>
          <w:trHeight w:val="220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i/>
                <w:lang w:val="uk-UA"/>
              </w:rPr>
            </w:pPr>
            <w:r w:rsidRPr="00B66D64">
              <w:rPr>
                <w:i/>
                <w:lang w:val="uk-UA"/>
              </w:rPr>
              <w:t>Розв’язування задач</w:t>
            </w:r>
          </w:p>
        </w:tc>
      </w:tr>
      <w:tr w:rsidR="00962A12" w:rsidRPr="007F38B2" w:rsidTr="00E1321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i/>
                <w:lang w:val="uk-UA"/>
              </w:rPr>
            </w:pPr>
            <w:proofErr w:type="spellStart"/>
            <w:r w:rsidRPr="00B66D64">
              <w:rPr>
                <w:i/>
                <w:lang w:val="uk-UA"/>
              </w:rPr>
              <w:t>Паралельнiсть</w:t>
            </w:r>
            <w:proofErr w:type="spellEnd"/>
            <w:r w:rsidRPr="00B66D64">
              <w:rPr>
                <w:i/>
                <w:lang w:val="uk-UA"/>
              </w:rPr>
              <w:t xml:space="preserve"> площин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Паралельнiсть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площин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Паралельнiсть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площин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Паралельнiсть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площин</w:t>
            </w:r>
            <w:r w:rsidR="00B66D64"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. </w:t>
            </w:r>
            <w:r w:rsidR="00B66D64" w:rsidRPr="00B66D64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Паралельне проектування та його </w:t>
            </w: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властивостi</w:t>
            </w:r>
            <w:proofErr w:type="spellEnd"/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Зображення </w:t>
            </w: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фiгур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у </w:t>
            </w: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стереометрiї</w:t>
            </w:r>
            <w:proofErr w:type="spellEnd"/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Pr="007F38B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62A12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Розв’язування задач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2</w:t>
            </w:r>
          </w:p>
        </w:tc>
      </w:tr>
      <w:tr w:rsidR="00962A12" w:rsidRPr="007F38B2" w:rsidTr="00962A12">
        <w:trPr>
          <w:trHeight w:val="225"/>
        </w:trPr>
        <w:tc>
          <w:tcPr>
            <w:tcW w:w="11030" w:type="dxa"/>
            <w:gridSpan w:val="9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62A12" w:rsidRPr="00962A12" w:rsidRDefault="00962A12" w:rsidP="00B66D64">
            <w:pPr>
              <w:jc w:val="center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Тема №1. </w:t>
            </w:r>
            <w:r w:rsidR="00B66D64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Перпендикулярність прямих </w:t>
            </w: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 і  площини  у  просторі 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( 22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 год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.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)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23</w:t>
            </w:r>
          </w:p>
        </w:tc>
        <w:tc>
          <w:tcPr>
            <w:tcW w:w="75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9B0903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Аналіз контрольної роботи. </w:t>
            </w:r>
            <w:proofErr w:type="spellStart"/>
            <w:r w:rsidR="00B66D64"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Перпендикулярнiсть</w:t>
            </w:r>
            <w:proofErr w:type="spellEnd"/>
            <w:r w:rsidR="00B66D64"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прямої i площини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Перпендикулярнiсть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прямої i площини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Перпендикулярнiсть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прямої i площини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Двогранний кут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Перпендикулярнiсть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площин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Перпендикулярнiсть</w:t>
            </w:r>
            <w:proofErr w:type="spellEnd"/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площин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Розв’язування задач. </w:t>
            </w:r>
            <w:r w:rsidRPr="00B66D64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Ортогональне проектування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3</w:t>
            </w:r>
          </w:p>
        </w:tc>
      </w:tr>
      <w:tr w:rsidR="00962A12" w:rsidRPr="007F38B2" w:rsidTr="00962A1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62A12" w:rsidRDefault="00962A12" w:rsidP="00E1321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7F38B2" w:rsidRDefault="00962A12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62A12" w:rsidRPr="00B66D64" w:rsidRDefault="00B66D64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66D64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Аналіз контрольної роботи. Підсумкове  повторення  за  І  семестр.</w:t>
            </w:r>
          </w:p>
        </w:tc>
      </w:tr>
    </w:tbl>
    <w:p w:rsidR="00962A12" w:rsidRPr="0012687C" w:rsidRDefault="00962A12" w:rsidP="00B66D64">
      <w:pPr>
        <w:rPr>
          <w:lang w:val="uk-UA"/>
        </w:rPr>
      </w:pPr>
    </w:p>
    <w:sectPr w:rsidR="00962A12" w:rsidRPr="0012687C" w:rsidSect="009B090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12"/>
    <w:rsid w:val="00010955"/>
    <w:rsid w:val="000B4B70"/>
    <w:rsid w:val="007E2AB3"/>
    <w:rsid w:val="008817BE"/>
    <w:rsid w:val="00962A12"/>
    <w:rsid w:val="009B0903"/>
    <w:rsid w:val="00B66D64"/>
    <w:rsid w:val="00EB31A1"/>
    <w:rsid w:val="00F9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62A12"/>
    <w:rPr>
      <w:rFonts w:ascii="Century Schoolbook" w:hAnsi="Century Schoolbook" w:cs="Century Schoolbook"/>
      <w:sz w:val="14"/>
      <w:szCs w:val="14"/>
    </w:rPr>
  </w:style>
  <w:style w:type="character" w:customStyle="1" w:styleId="111">
    <w:name w:val="стиль111"/>
    <w:basedOn w:val="a0"/>
    <w:rsid w:val="0096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2014-09-06T17:26:00Z</dcterms:created>
  <dcterms:modified xsi:type="dcterms:W3CDTF">2014-09-06T18:40:00Z</dcterms:modified>
</cp:coreProperties>
</file>